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00E5" w14:textId="77777777" w:rsidR="002075CA" w:rsidRDefault="002075CA" w:rsidP="00DD2408">
      <w:pPr>
        <w:spacing w:after="0" w:line="240" w:lineRule="auto"/>
        <w:ind w:left="-28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AA446A3" w14:textId="6071C857" w:rsidR="00DD2408" w:rsidRDefault="00DD2408" w:rsidP="00DD2408">
      <w:pPr>
        <w:spacing w:after="0" w:line="240" w:lineRule="auto"/>
        <w:ind w:left="-28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C42F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Motivée par </w:t>
      </w:r>
      <w:r w:rsidR="00771A0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 </w:t>
      </w:r>
      <w:r w:rsidRPr="007C42F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volonté d’agir d’une manière Responsable et pérenne, </w:t>
      </w:r>
      <w:r w:rsidR="008F23F4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7C42FC">
        <w:rPr>
          <w:rFonts w:asciiTheme="majorBidi" w:hAnsiTheme="majorBidi" w:cstheme="majorBidi"/>
          <w:color w:val="000000" w:themeColor="text1"/>
          <w:sz w:val="24"/>
          <w:szCs w:val="24"/>
        </w:rPr>
        <w:t>a société SBM Tunisie intègre une d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émarche</w:t>
      </w:r>
      <w:r w:rsidR="00EB11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volontaire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de mise en œuvre d’un système de management social conformément aux exigences de la norme SA8000 version 2014.</w:t>
      </w:r>
    </w:p>
    <w:p w14:paraId="27B773B5" w14:textId="77777777" w:rsidR="00DD2408" w:rsidRDefault="00DD2408" w:rsidP="000169C8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326000C" w14:textId="674DC6CD" w:rsidR="00DD2408" w:rsidRPr="00C60878" w:rsidRDefault="00DD2408" w:rsidP="00DD2408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60878">
        <w:rPr>
          <w:rFonts w:asciiTheme="majorBidi" w:hAnsiTheme="majorBidi" w:cstheme="majorBidi"/>
          <w:sz w:val="24"/>
          <w:szCs w:val="24"/>
          <w:lang w:bidi="ar-TN"/>
        </w:rPr>
        <w:t xml:space="preserve">Les objectifs visés </w:t>
      </w:r>
      <w:r w:rsidR="008F23F4">
        <w:rPr>
          <w:rFonts w:asciiTheme="majorBidi" w:hAnsiTheme="majorBidi" w:cstheme="majorBidi"/>
          <w:sz w:val="24"/>
          <w:szCs w:val="24"/>
          <w:lang w:bidi="ar-TN"/>
        </w:rPr>
        <w:t>par une telle démarche</w:t>
      </w:r>
      <w:r w:rsidRPr="00C60878">
        <w:rPr>
          <w:rFonts w:asciiTheme="majorBidi" w:hAnsiTheme="majorBidi" w:cstheme="majorBidi"/>
          <w:sz w:val="24"/>
          <w:szCs w:val="24"/>
          <w:lang w:bidi="ar-TN"/>
        </w:rPr>
        <w:t xml:space="preserve"> reposent sur les axes suivants </w:t>
      </w:r>
      <w:r w:rsidRPr="00C6087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</w:p>
    <w:p w14:paraId="73DCB40F" w14:textId="39CBD19E" w:rsidR="00DD2408" w:rsidRPr="007C42FC" w:rsidRDefault="00DD2408" w:rsidP="00CB061D">
      <w:pPr>
        <w:pStyle w:val="Paragraphedeliste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2FC">
        <w:rPr>
          <w:rFonts w:asciiTheme="majorBidi" w:hAnsiTheme="majorBidi" w:cstheme="majorBidi"/>
          <w:sz w:val="24"/>
          <w:szCs w:val="24"/>
        </w:rPr>
        <w:t xml:space="preserve">Améliorer </w:t>
      </w:r>
      <w:r>
        <w:rPr>
          <w:rFonts w:asciiTheme="majorBidi" w:hAnsiTheme="majorBidi" w:cstheme="majorBidi"/>
          <w:sz w:val="24"/>
          <w:szCs w:val="24"/>
        </w:rPr>
        <w:t xml:space="preserve">continuellement </w:t>
      </w:r>
      <w:r w:rsidR="008F23F4">
        <w:rPr>
          <w:rFonts w:asciiTheme="majorBidi" w:hAnsiTheme="majorBidi" w:cstheme="majorBidi"/>
          <w:sz w:val="24"/>
          <w:szCs w:val="24"/>
        </w:rPr>
        <w:t>nos</w:t>
      </w:r>
      <w:r w:rsidRPr="007C42FC">
        <w:rPr>
          <w:rFonts w:asciiTheme="majorBidi" w:hAnsiTheme="majorBidi" w:cstheme="majorBidi"/>
          <w:sz w:val="24"/>
          <w:szCs w:val="24"/>
        </w:rPr>
        <w:t xml:space="preserve"> conditions de travail (d’hygiène de santé</w:t>
      </w:r>
      <w:r w:rsidR="008F23F4">
        <w:rPr>
          <w:rFonts w:asciiTheme="majorBidi" w:hAnsiTheme="majorBidi" w:cstheme="majorBidi"/>
          <w:sz w:val="24"/>
          <w:szCs w:val="24"/>
        </w:rPr>
        <w:t xml:space="preserve"> et de climat social</w:t>
      </w:r>
      <w:r w:rsidRPr="007C42FC">
        <w:rPr>
          <w:rFonts w:asciiTheme="majorBidi" w:hAnsiTheme="majorBidi" w:cstheme="majorBidi"/>
          <w:sz w:val="24"/>
          <w:szCs w:val="24"/>
        </w:rPr>
        <w:t>)</w:t>
      </w:r>
    </w:p>
    <w:p w14:paraId="74F48C45" w14:textId="643BD68B" w:rsidR="00DD2408" w:rsidRPr="00C60878" w:rsidRDefault="00DD2408" w:rsidP="00CB061D">
      <w:pPr>
        <w:pStyle w:val="Paragraphedeliste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60878">
        <w:rPr>
          <w:rFonts w:asciiTheme="majorBidi" w:hAnsiTheme="majorBidi" w:cstheme="majorBidi"/>
          <w:sz w:val="24"/>
          <w:szCs w:val="24"/>
        </w:rPr>
        <w:t>Se conformer aux exigences légales nationale</w:t>
      </w:r>
      <w:r>
        <w:rPr>
          <w:rFonts w:asciiTheme="majorBidi" w:hAnsiTheme="majorBidi" w:cstheme="majorBidi"/>
          <w:sz w:val="24"/>
          <w:szCs w:val="24"/>
        </w:rPr>
        <w:t>s</w:t>
      </w:r>
      <w:r w:rsidRPr="00C60878">
        <w:rPr>
          <w:rFonts w:asciiTheme="majorBidi" w:hAnsiTheme="majorBidi" w:cstheme="majorBidi"/>
          <w:sz w:val="24"/>
          <w:szCs w:val="24"/>
        </w:rPr>
        <w:t xml:space="preserve"> et</w:t>
      </w:r>
      <w:r>
        <w:rPr>
          <w:rFonts w:asciiTheme="majorBidi" w:hAnsiTheme="majorBidi" w:cstheme="majorBidi"/>
          <w:sz w:val="24"/>
          <w:szCs w:val="24"/>
        </w:rPr>
        <w:t xml:space="preserve"> internationales</w:t>
      </w:r>
      <w:r w:rsidR="008F23F4">
        <w:rPr>
          <w:rFonts w:asciiTheme="majorBidi" w:hAnsiTheme="majorBidi" w:cstheme="majorBidi"/>
          <w:sz w:val="24"/>
          <w:szCs w:val="24"/>
        </w:rPr>
        <w:t xml:space="preserve"> applicables en matières Sociale ;</w:t>
      </w:r>
    </w:p>
    <w:p w14:paraId="34511F21" w14:textId="77777777" w:rsidR="00DD2408" w:rsidRPr="00DD2408" w:rsidRDefault="00DD2408" w:rsidP="00CB061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D2408">
        <w:rPr>
          <w:rFonts w:asciiTheme="majorBidi" w:hAnsiTheme="majorBidi" w:cstheme="majorBidi"/>
          <w:sz w:val="24"/>
          <w:szCs w:val="24"/>
        </w:rPr>
        <w:t>Se conformer aux codes de conduite</w:t>
      </w:r>
      <w:r>
        <w:rPr>
          <w:rFonts w:asciiTheme="majorBidi" w:hAnsiTheme="majorBidi" w:cstheme="majorBidi"/>
          <w:sz w:val="24"/>
          <w:szCs w:val="24"/>
        </w:rPr>
        <w:t xml:space="preserve"> de nos clients</w:t>
      </w:r>
    </w:p>
    <w:p w14:paraId="59B07F55" w14:textId="77777777" w:rsidR="00CB061D" w:rsidRDefault="00CB061D" w:rsidP="00CB061D">
      <w:pPr>
        <w:tabs>
          <w:tab w:val="left" w:pos="1360"/>
          <w:tab w:val="left" w:pos="1361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</w:p>
    <w:p w14:paraId="1B95D52C" w14:textId="1654394A" w:rsidR="008F23F4" w:rsidRDefault="00DD2408" w:rsidP="008F23F4">
      <w:pPr>
        <w:tabs>
          <w:tab w:val="left" w:pos="1360"/>
          <w:tab w:val="left" w:pos="1361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DD2408">
        <w:rPr>
          <w:rFonts w:asciiTheme="majorBidi" w:hAnsiTheme="majorBidi" w:cstheme="majorBidi"/>
          <w:sz w:val="24"/>
          <w:szCs w:val="24"/>
          <w:lang w:bidi="ar-TN"/>
        </w:rPr>
        <w:t xml:space="preserve">Pour atteindre </w:t>
      </w:r>
      <w:r w:rsidR="00CC465D">
        <w:rPr>
          <w:rFonts w:asciiTheme="majorBidi" w:hAnsiTheme="majorBidi" w:cstheme="majorBidi"/>
          <w:sz w:val="24"/>
          <w:szCs w:val="24"/>
          <w:lang w:bidi="ar-TN"/>
        </w:rPr>
        <w:t>s</w:t>
      </w:r>
      <w:r w:rsidRPr="00DD2408">
        <w:rPr>
          <w:rFonts w:asciiTheme="majorBidi" w:hAnsiTheme="majorBidi" w:cstheme="majorBidi"/>
          <w:sz w:val="24"/>
          <w:szCs w:val="24"/>
          <w:lang w:bidi="ar-TN"/>
        </w:rPr>
        <w:t xml:space="preserve">es objectifs, SBM s'engage à </w:t>
      </w:r>
      <w:r>
        <w:rPr>
          <w:rFonts w:asciiTheme="majorBidi" w:hAnsiTheme="majorBidi" w:cstheme="majorBidi"/>
          <w:sz w:val="24"/>
          <w:szCs w:val="24"/>
          <w:lang w:bidi="ar-TN"/>
        </w:rPr>
        <w:t xml:space="preserve">/au : </w:t>
      </w:r>
    </w:p>
    <w:p w14:paraId="6355C6B2" w14:textId="5951361D" w:rsidR="000169C8" w:rsidRPr="008F23F4" w:rsidRDefault="000169C8" w:rsidP="008F23F4">
      <w:pPr>
        <w:pStyle w:val="Paragraphedeliste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F23F4">
        <w:rPr>
          <w:rFonts w:asciiTheme="majorBidi" w:hAnsiTheme="majorBidi" w:cstheme="majorBidi"/>
          <w:sz w:val="24"/>
          <w:szCs w:val="24"/>
        </w:rPr>
        <w:t>Respect des exigences légales et normatives nationales et internationales applicables, notamment les conventions internationales de l’OIT (Organisation International du Travail), et la Déclaration des Droits de l’Homme de l’ONU ;</w:t>
      </w:r>
    </w:p>
    <w:p w14:paraId="6CB47B9E" w14:textId="59210533" w:rsidR="000169C8" w:rsidRPr="008F23F4" w:rsidRDefault="000169C8" w:rsidP="008F23F4">
      <w:pPr>
        <w:pStyle w:val="Paragraphedeliste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F23F4">
        <w:rPr>
          <w:rFonts w:asciiTheme="majorBidi" w:hAnsiTheme="majorBidi" w:cstheme="majorBidi"/>
          <w:sz w:val="24"/>
          <w:szCs w:val="24"/>
        </w:rPr>
        <w:t>Interdiction du travail des enfants et de toute condition de travail jugée inhumaine, exploitante, discriminatoire ou insalubre et de toute pratique corruptive ;</w:t>
      </w:r>
    </w:p>
    <w:p w14:paraId="62F75E3F" w14:textId="23EBA765" w:rsidR="000169C8" w:rsidRPr="008F23F4" w:rsidRDefault="000169C8" w:rsidP="008F23F4">
      <w:pPr>
        <w:pStyle w:val="Paragraphedeliste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F23F4">
        <w:rPr>
          <w:rFonts w:asciiTheme="majorBidi" w:hAnsiTheme="majorBidi" w:cstheme="majorBidi"/>
          <w:sz w:val="24"/>
          <w:szCs w:val="24"/>
        </w:rPr>
        <w:t xml:space="preserve">Soutien et promotion des programmes d'aide social et du dialogue social </w:t>
      </w:r>
      <w:r w:rsidR="00DD2408" w:rsidRPr="008F23F4">
        <w:rPr>
          <w:rFonts w:asciiTheme="majorBidi" w:hAnsiTheme="majorBidi" w:cstheme="majorBidi"/>
          <w:sz w:val="24"/>
          <w:szCs w:val="24"/>
        </w:rPr>
        <w:t xml:space="preserve">et consolidation du Rôle Sociétal de </w:t>
      </w:r>
      <w:r w:rsidR="002075CA" w:rsidRPr="008F23F4">
        <w:rPr>
          <w:rFonts w:asciiTheme="majorBidi" w:hAnsiTheme="majorBidi" w:cstheme="majorBidi"/>
          <w:sz w:val="24"/>
          <w:szCs w:val="24"/>
        </w:rPr>
        <w:t>l’entreprise ;</w:t>
      </w:r>
    </w:p>
    <w:p w14:paraId="46E78ED9" w14:textId="7EE7F9FE" w:rsidR="000169C8" w:rsidRPr="008F23F4" w:rsidRDefault="000169C8" w:rsidP="008F23F4">
      <w:pPr>
        <w:pStyle w:val="Paragraphedeliste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F23F4">
        <w:rPr>
          <w:rFonts w:asciiTheme="majorBidi" w:hAnsiTheme="majorBidi" w:cstheme="majorBidi"/>
          <w:sz w:val="24"/>
          <w:szCs w:val="24"/>
        </w:rPr>
        <w:t>Renforcement des pratiques des règles et des mesures de la QHSE, en particulier celles relatives à l’</w:t>
      </w:r>
      <w:r w:rsidR="00DD2408" w:rsidRPr="008F23F4">
        <w:rPr>
          <w:rFonts w:asciiTheme="majorBidi" w:hAnsiTheme="majorBidi" w:cstheme="majorBidi"/>
          <w:sz w:val="24"/>
          <w:szCs w:val="24"/>
        </w:rPr>
        <w:t xml:space="preserve">axe Santé dans ces dimensions curatives et surtout préventives ; </w:t>
      </w:r>
    </w:p>
    <w:p w14:paraId="3C5FED41" w14:textId="3721BA0F" w:rsidR="000169C8" w:rsidRPr="008F23F4" w:rsidRDefault="000169C8" w:rsidP="008F23F4">
      <w:pPr>
        <w:pStyle w:val="Paragraphedeliste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F23F4">
        <w:rPr>
          <w:rFonts w:asciiTheme="majorBidi" w:hAnsiTheme="majorBidi" w:cstheme="majorBidi"/>
          <w:sz w:val="24"/>
          <w:szCs w:val="24"/>
        </w:rPr>
        <w:t xml:space="preserve">Développement et formation continues, poly-compétences, motivation et évolution de carrière à </w:t>
      </w:r>
      <w:r w:rsidR="008F23F4">
        <w:rPr>
          <w:rFonts w:asciiTheme="majorBidi" w:hAnsiTheme="majorBidi" w:cstheme="majorBidi"/>
          <w:sz w:val="24"/>
          <w:szCs w:val="24"/>
        </w:rPr>
        <w:t>nos ressources humaines</w:t>
      </w:r>
      <w:r w:rsidR="008F23F4" w:rsidRPr="008F23F4">
        <w:rPr>
          <w:rFonts w:asciiTheme="majorBidi" w:hAnsiTheme="majorBidi" w:cstheme="majorBidi"/>
          <w:sz w:val="24"/>
          <w:szCs w:val="24"/>
        </w:rPr>
        <w:t xml:space="preserve"> ;</w:t>
      </w:r>
    </w:p>
    <w:p w14:paraId="471DA8F6" w14:textId="0B8ECA8C" w:rsidR="000169C8" w:rsidRPr="008F23F4" w:rsidRDefault="000169C8" w:rsidP="008F23F4">
      <w:pPr>
        <w:pStyle w:val="Paragraphedeliste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F23F4">
        <w:rPr>
          <w:rFonts w:asciiTheme="majorBidi" w:hAnsiTheme="majorBidi" w:cstheme="majorBidi"/>
          <w:sz w:val="24"/>
          <w:szCs w:val="24"/>
        </w:rPr>
        <w:t xml:space="preserve">Instauration et promotion d'une culture basée sur l’implication, le respect, la communication, la capitalisation du savoir et d'un climat social </w:t>
      </w:r>
      <w:r w:rsidR="002075CA" w:rsidRPr="008F23F4">
        <w:rPr>
          <w:rFonts w:asciiTheme="majorBidi" w:hAnsiTheme="majorBidi" w:cstheme="majorBidi"/>
          <w:sz w:val="24"/>
          <w:szCs w:val="24"/>
        </w:rPr>
        <w:t>sain ;</w:t>
      </w:r>
    </w:p>
    <w:p w14:paraId="57E7B0BE" w14:textId="327989D5" w:rsidR="000169C8" w:rsidRPr="008F23F4" w:rsidRDefault="000169C8" w:rsidP="008F23F4">
      <w:pPr>
        <w:pStyle w:val="Paragraphedeliste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F23F4">
        <w:rPr>
          <w:rFonts w:asciiTheme="majorBidi" w:hAnsiTheme="majorBidi" w:cstheme="majorBidi"/>
          <w:sz w:val="24"/>
          <w:szCs w:val="24"/>
        </w:rPr>
        <w:t>Sélection et partenariat préférentie</w:t>
      </w:r>
      <w:r w:rsidR="002075CA" w:rsidRPr="008F23F4">
        <w:rPr>
          <w:rFonts w:asciiTheme="majorBidi" w:hAnsiTheme="majorBidi" w:cstheme="majorBidi"/>
          <w:sz w:val="24"/>
          <w:szCs w:val="24"/>
        </w:rPr>
        <w:t>l</w:t>
      </w:r>
      <w:r w:rsidRPr="008F23F4">
        <w:rPr>
          <w:rFonts w:asciiTheme="majorBidi" w:hAnsiTheme="majorBidi" w:cstheme="majorBidi"/>
          <w:sz w:val="24"/>
          <w:szCs w:val="24"/>
        </w:rPr>
        <w:t xml:space="preserve"> avec les prestataires capables de fournir des produits et services compatibles avec les objectifs éthiques, environnementaux et de sécurité de </w:t>
      </w:r>
      <w:r w:rsidR="008F23F4">
        <w:rPr>
          <w:rFonts w:asciiTheme="majorBidi" w:hAnsiTheme="majorBidi" w:cstheme="majorBidi"/>
          <w:sz w:val="24"/>
          <w:szCs w:val="24"/>
        </w:rPr>
        <w:t xml:space="preserve">notre </w:t>
      </w:r>
      <w:r w:rsidR="00C6068D" w:rsidRPr="008F23F4">
        <w:rPr>
          <w:rFonts w:asciiTheme="majorBidi" w:hAnsiTheme="majorBidi" w:cstheme="majorBidi"/>
          <w:sz w:val="24"/>
          <w:szCs w:val="24"/>
        </w:rPr>
        <w:t>entreprise</w:t>
      </w:r>
      <w:r w:rsidR="00C6068D">
        <w:rPr>
          <w:rFonts w:asciiTheme="majorBidi" w:hAnsiTheme="majorBidi" w:cstheme="majorBidi"/>
          <w:sz w:val="24"/>
          <w:szCs w:val="24"/>
        </w:rPr>
        <w:t>.</w:t>
      </w:r>
    </w:p>
    <w:p w14:paraId="6E745EE2" w14:textId="77777777" w:rsidR="000169C8" w:rsidRPr="008370F3" w:rsidRDefault="000169C8" w:rsidP="000169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68F998" w14:textId="77777777" w:rsidR="000D79E3" w:rsidRPr="008370F3" w:rsidRDefault="00F97CB2" w:rsidP="000169C8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370F3">
        <w:rPr>
          <w:rFonts w:asciiTheme="majorBidi" w:hAnsiTheme="majorBidi" w:cstheme="majorBidi"/>
          <w:sz w:val="24"/>
          <w:szCs w:val="24"/>
        </w:rPr>
        <w:t xml:space="preserve">La </w:t>
      </w:r>
      <w:r w:rsidR="007C42FC" w:rsidRPr="008370F3">
        <w:rPr>
          <w:rFonts w:asciiTheme="majorBidi" w:hAnsiTheme="majorBidi" w:cstheme="majorBidi"/>
          <w:sz w:val="24"/>
          <w:szCs w:val="24"/>
        </w:rPr>
        <w:t>D</w:t>
      </w:r>
      <w:r w:rsidRPr="008370F3">
        <w:rPr>
          <w:rFonts w:asciiTheme="majorBidi" w:hAnsiTheme="majorBidi" w:cstheme="majorBidi"/>
          <w:sz w:val="24"/>
          <w:szCs w:val="24"/>
        </w:rPr>
        <w:t>irection</w:t>
      </w:r>
      <w:r w:rsidR="000169C8" w:rsidRPr="008370F3">
        <w:rPr>
          <w:rFonts w:asciiTheme="majorBidi" w:hAnsiTheme="majorBidi" w:cstheme="majorBidi"/>
          <w:sz w:val="24"/>
          <w:szCs w:val="24"/>
        </w:rPr>
        <w:t xml:space="preserve"> </w:t>
      </w:r>
      <w:r w:rsidR="008A38C8" w:rsidRPr="008370F3">
        <w:rPr>
          <w:rFonts w:asciiTheme="majorBidi" w:hAnsiTheme="majorBidi" w:cstheme="majorBidi"/>
          <w:sz w:val="24"/>
          <w:szCs w:val="24"/>
        </w:rPr>
        <w:t>s’engage</w:t>
      </w:r>
      <w:r w:rsidR="000169C8" w:rsidRPr="008370F3">
        <w:rPr>
          <w:rFonts w:asciiTheme="majorBidi" w:hAnsiTheme="majorBidi" w:cstheme="majorBidi"/>
          <w:sz w:val="24"/>
          <w:szCs w:val="24"/>
        </w:rPr>
        <w:t xml:space="preserve"> </w:t>
      </w:r>
      <w:r w:rsidRPr="008370F3">
        <w:rPr>
          <w:rFonts w:asciiTheme="majorBidi" w:hAnsiTheme="majorBidi" w:cstheme="majorBidi"/>
          <w:sz w:val="24"/>
          <w:szCs w:val="24"/>
          <w:lang w:bidi="ar-TN"/>
        </w:rPr>
        <w:t xml:space="preserve">au respect de cette politique tout en comptant également </w:t>
      </w:r>
      <w:r w:rsidR="000169C8" w:rsidRPr="008370F3">
        <w:rPr>
          <w:rFonts w:asciiTheme="majorBidi" w:hAnsiTheme="majorBidi" w:cstheme="majorBidi"/>
          <w:sz w:val="24"/>
          <w:szCs w:val="24"/>
        </w:rPr>
        <w:t xml:space="preserve">sur la collaboration de tout notre capital humain </w:t>
      </w:r>
      <w:r w:rsidRPr="008370F3">
        <w:rPr>
          <w:rFonts w:asciiTheme="majorBidi" w:hAnsiTheme="majorBidi" w:cstheme="majorBidi"/>
          <w:sz w:val="24"/>
          <w:szCs w:val="24"/>
        </w:rPr>
        <w:t xml:space="preserve">et </w:t>
      </w:r>
      <w:r w:rsidR="00430234" w:rsidRPr="008370F3">
        <w:rPr>
          <w:rFonts w:asciiTheme="majorBidi" w:hAnsiTheme="majorBidi" w:cstheme="majorBidi"/>
          <w:sz w:val="24"/>
          <w:szCs w:val="24"/>
        </w:rPr>
        <w:t>de</w:t>
      </w:r>
      <w:r w:rsidRPr="008370F3">
        <w:rPr>
          <w:rFonts w:asciiTheme="majorBidi" w:hAnsiTheme="majorBidi" w:cstheme="majorBidi"/>
          <w:sz w:val="24"/>
          <w:szCs w:val="24"/>
        </w:rPr>
        <w:t xml:space="preserve"> nos prestataires externes (fournisseurs et sous-traitants)</w:t>
      </w:r>
      <w:r w:rsidR="00430234" w:rsidRPr="008370F3">
        <w:rPr>
          <w:rFonts w:asciiTheme="majorBidi" w:hAnsiTheme="majorBidi" w:cstheme="majorBidi"/>
          <w:sz w:val="24"/>
          <w:szCs w:val="24"/>
        </w:rPr>
        <w:t>.</w:t>
      </w:r>
    </w:p>
    <w:p w14:paraId="333BE881" w14:textId="25BF5681" w:rsidR="00F97CB2" w:rsidRPr="008370F3" w:rsidRDefault="000169C8" w:rsidP="000169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8370F3">
        <w:rPr>
          <w:rFonts w:asciiTheme="majorBidi" w:hAnsiTheme="majorBidi" w:cstheme="majorBidi"/>
          <w:sz w:val="24"/>
          <w:szCs w:val="24"/>
          <w:lang w:bidi="ar-TN"/>
        </w:rPr>
        <w:t xml:space="preserve">En cas de non-respect de cette politique, toute personne, pourrait </w:t>
      </w:r>
      <w:r w:rsidR="00F97CB2" w:rsidRPr="008370F3">
        <w:rPr>
          <w:rFonts w:asciiTheme="majorBidi" w:hAnsiTheme="majorBidi" w:cstheme="majorBidi"/>
          <w:sz w:val="24"/>
          <w:szCs w:val="24"/>
          <w:lang w:bidi="ar-TN"/>
        </w:rPr>
        <w:t xml:space="preserve">déposer sa réclamation dans la boite des réclamations et des suggestions ou bien en faire part directement à </w:t>
      </w:r>
      <w:r w:rsidRPr="008370F3">
        <w:rPr>
          <w:rFonts w:asciiTheme="majorBidi" w:hAnsiTheme="majorBidi" w:cstheme="majorBidi"/>
          <w:sz w:val="24"/>
          <w:szCs w:val="24"/>
          <w:lang w:bidi="ar-TN"/>
        </w:rPr>
        <w:t xml:space="preserve">la </w:t>
      </w:r>
      <w:r w:rsidR="00CC465D" w:rsidRPr="008370F3">
        <w:rPr>
          <w:rFonts w:asciiTheme="majorBidi" w:hAnsiTheme="majorBidi" w:cstheme="majorBidi"/>
          <w:sz w:val="24"/>
          <w:szCs w:val="24"/>
          <w:lang w:bidi="ar-TN"/>
        </w:rPr>
        <w:t>D</w:t>
      </w:r>
      <w:r w:rsidRPr="008370F3">
        <w:rPr>
          <w:rFonts w:asciiTheme="majorBidi" w:hAnsiTheme="majorBidi" w:cstheme="majorBidi"/>
          <w:sz w:val="24"/>
          <w:szCs w:val="24"/>
          <w:lang w:bidi="ar-TN"/>
        </w:rPr>
        <w:t>irection</w:t>
      </w:r>
      <w:r w:rsidR="00F97CB2" w:rsidRPr="008370F3">
        <w:rPr>
          <w:rFonts w:asciiTheme="majorBidi" w:hAnsiTheme="majorBidi" w:cstheme="majorBidi"/>
          <w:sz w:val="24"/>
          <w:szCs w:val="24"/>
          <w:lang w:bidi="ar-TN"/>
        </w:rPr>
        <w:t>.</w:t>
      </w:r>
    </w:p>
    <w:p w14:paraId="3011CBA5" w14:textId="4C9D1F06" w:rsidR="00CB061D" w:rsidRPr="008370F3" w:rsidRDefault="00CB061D" w:rsidP="000169C8">
      <w:pPr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</w:rPr>
      </w:pPr>
    </w:p>
    <w:p w14:paraId="42BC159A" w14:textId="77777777" w:rsidR="00A938B5" w:rsidRPr="008370F3" w:rsidRDefault="00A938B5" w:rsidP="000169C8">
      <w:pPr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</w:rPr>
      </w:pPr>
    </w:p>
    <w:p w14:paraId="1C535DC1" w14:textId="2B3CB364" w:rsidR="001E4056" w:rsidRPr="008370F3" w:rsidRDefault="002D5526" w:rsidP="000169C8">
      <w:pPr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</w:rPr>
      </w:pPr>
      <w:r w:rsidRPr="008370F3">
        <w:rPr>
          <w:rFonts w:asciiTheme="majorBidi" w:hAnsiTheme="majorBidi" w:cstheme="majorBidi"/>
          <w:b/>
          <w:bCs/>
          <w:i/>
          <w:iCs/>
        </w:rPr>
        <w:t xml:space="preserve">La </w:t>
      </w:r>
      <w:r w:rsidR="002075CA" w:rsidRPr="008370F3">
        <w:rPr>
          <w:rFonts w:asciiTheme="majorBidi" w:hAnsiTheme="majorBidi" w:cstheme="majorBidi"/>
          <w:b/>
          <w:bCs/>
          <w:i/>
          <w:iCs/>
        </w:rPr>
        <w:t>CHEBBA,</w:t>
      </w:r>
      <w:r w:rsidRPr="008370F3">
        <w:rPr>
          <w:rFonts w:asciiTheme="majorBidi" w:hAnsiTheme="majorBidi" w:cstheme="majorBidi"/>
          <w:b/>
          <w:bCs/>
          <w:i/>
          <w:iCs/>
        </w:rPr>
        <w:t xml:space="preserve"> le </w:t>
      </w:r>
      <w:r w:rsidR="00DD2408" w:rsidRPr="008370F3">
        <w:rPr>
          <w:rFonts w:asciiTheme="majorBidi" w:hAnsiTheme="majorBidi" w:cstheme="majorBidi"/>
          <w:b/>
          <w:bCs/>
          <w:i/>
          <w:iCs/>
        </w:rPr>
        <w:t>27.06</w:t>
      </w:r>
      <w:r w:rsidRPr="008370F3">
        <w:rPr>
          <w:rFonts w:asciiTheme="majorBidi" w:hAnsiTheme="majorBidi" w:cstheme="majorBidi"/>
          <w:b/>
          <w:bCs/>
          <w:i/>
          <w:iCs/>
        </w:rPr>
        <w:t>.2022</w:t>
      </w:r>
    </w:p>
    <w:p w14:paraId="45407FA1" w14:textId="52BAC351" w:rsidR="002D5526" w:rsidRPr="008370F3" w:rsidRDefault="002D5526" w:rsidP="000169C8">
      <w:pPr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</w:rPr>
      </w:pPr>
      <w:r w:rsidRPr="008370F3">
        <w:rPr>
          <w:rFonts w:asciiTheme="majorBidi" w:hAnsiTheme="majorBidi" w:cstheme="majorBidi"/>
          <w:b/>
          <w:bCs/>
          <w:i/>
          <w:iCs/>
        </w:rPr>
        <w:t xml:space="preserve">     Le </w:t>
      </w:r>
      <w:r w:rsidR="002075CA" w:rsidRPr="008370F3">
        <w:rPr>
          <w:rFonts w:asciiTheme="majorBidi" w:hAnsiTheme="majorBidi" w:cstheme="majorBidi"/>
          <w:b/>
          <w:bCs/>
          <w:i/>
          <w:iCs/>
        </w:rPr>
        <w:t>G</w:t>
      </w:r>
      <w:r w:rsidRPr="008370F3">
        <w:rPr>
          <w:rFonts w:asciiTheme="majorBidi" w:hAnsiTheme="majorBidi" w:cstheme="majorBidi"/>
          <w:b/>
          <w:bCs/>
          <w:i/>
          <w:iCs/>
        </w:rPr>
        <w:t xml:space="preserve">érant : </w:t>
      </w:r>
      <w:r w:rsidR="00A510B6" w:rsidRPr="008370F3">
        <w:rPr>
          <w:rFonts w:asciiTheme="majorBidi" w:hAnsiTheme="majorBidi" w:cstheme="majorBidi"/>
          <w:b/>
          <w:bCs/>
          <w:i/>
          <w:iCs/>
        </w:rPr>
        <w:t>BOUBAKER Abdelaziz</w:t>
      </w:r>
      <w:r w:rsidRPr="008370F3">
        <w:rPr>
          <w:rFonts w:asciiTheme="majorBidi" w:hAnsiTheme="majorBidi" w:cstheme="majorBidi"/>
          <w:b/>
          <w:bCs/>
          <w:i/>
          <w:iCs/>
        </w:rPr>
        <w:t>.</w:t>
      </w:r>
    </w:p>
    <w:p w14:paraId="61E3D8E9" w14:textId="7D053E5A" w:rsidR="00A938B5" w:rsidRPr="008370F3" w:rsidRDefault="00A938B5" w:rsidP="000169C8">
      <w:pPr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</w:rPr>
      </w:pPr>
    </w:p>
    <w:p w14:paraId="1B3376EA" w14:textId="2065B1C5" w:rsidR="00A938B5" w:rsidRDefault="00A938B5" w:rsidP="00A938B5">
      <w:pPr>
        <w:pStyle w:val="Paragraphedeliste"/>
        <w:autoSpaceDE/>
        <w:autoSpaceDN/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</w:pPr>
    </w:p>
    <w:sectPr w:rsidR="00A938B5" w:rsidSect="0099012D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6D52" w14:textId="77777777" w:rsidR="00C649AB" w:rsidRDefault="00C649AB" w:rsidP="00C60878">
      <w:pPr>
        <w:spacing w:after="0" w:line="240" w:lineRule="auto"/>
      </w:pPr>
      <w:r>
        <w:separator/>
      </w:r>
    </w:p>
  </w:endnote>
  <w:endnote w:type="continuationSeparator" w:id="0">
    <w:p w14:paraId="035237D8" w14:textId="77777777" w:rsidR="00C649AB" w:rsidRDefault="00C649AB" w:rsidP="00C6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A8B" w14:textId="77777777" w:rsidR="00C649AB" w:rsidRDefault="00C649AB" w:rsidP="00C60878">
      <w:pPr>
        <w:spacing w:after="0" w:line="240" w:lineRule="auto"/>
      </w:pPr>
      <w:r>
        <w:separator/>
      </w:r>
    </w:p>
  </w:footnote>
  <w:footnote w:type="continuationSeparator" w:id="0">
    <w:p w14:paraId="078D607C" w14:textId="77777777" w:rsidR="00C649AB" w:rsidRDefault="00C649AB" w:rsidP="00C6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7" w:type="dxa"/>
      <w:tblInd w:w="-77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32"/>
      <w:gridCol w:w="6520"/>
      <w:gridCol w:w="1985"/>
    </w:tblGrid>
    <w:tr w:rsidR="00CB061D" w:rsidRPr="00821DB6" w14:paraId="7119D5AF" w14:textId="77777777" w:rsidTr="009B4716">
      <w:trPr>
        <w:trHeight w:hRule="exact" w:val="465"/>
      </w:trPr>
      <w:tc>
        <w:tcPr>
          <w:tcW w:w="2032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6D91BF82" w14:textId="77777777" w:rsidR="00CB061D" w:rsidRPr="00821DB6" w:rsidRDefault="00CB061D" w:rsidP="00CB061D">
          <w:pPr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  <w:r w:rsidRPr="00821DB6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fr-FR"/>
            </w:rPr>
            <w:drawing>
              <wp:inline distT="0" distB="0" distL="0" distR="0" wp14:anchorId="4ED6602E" wp14:editId="113494F6">
                <wp:extent cx="1171796" cy="723014"/>
                <wp:effectExtent l="19050" t="0" r="9304" b="0"/>
                <wp:docPr id="1" name="Image 23" descr="logo-final-png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logo-final-png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796" cy="723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0B6CD54B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before="1" w:after="0" w:line="260" w:lineRule="exact"/>
            <w:ind w:right="-20"/>
            <w:rPr>
              <w:rFonts w:ascii="Times New Roman" w:eastAsiaTheme="minorEastAsia" w:hAnsi="Times New Roman" w:cs="Times New Roman"/>
              <w:sz w:val="26"/>
              <w:szCs w:val="26"/>
              <w:lang w:eastAsia="fr-FR"/>
            </w:rPr>
          </w:pPr>
        </w:p>
        <w:p w14:paraId="693F437C" w14:textId="3CB1B9BB" w:rsidR="00CB061D" w:rsidRPr="00BA5858" w:rsidRDefault="0043120E" w:rsidP="00CB061D">
          <w:pPr>
            <w:widowControl w:val="0"/>
            <w:autoSpaceDE w:val="0"/>
            <w:autoSpaceDN w:val="0"/>
            <w:adjustRightInd w:val="0"/>
            <w:spacing w:after="0" w:line="506" w:lineRule="exact"/>
            <w:ind w:left="367" w:right="272"/>
            <w:jc w:val="center"/>
            <w:rPr>
              <w:rFonts w:ascii="Times New Roman" w:eastAsiaTheme="minorEastAsia" w:hAnsi="Times New Roman" w:cs="Times New Roman"/>
              <w:sz w:val="52"/>
              <w:szCs w:val="52"/>
              <w:lang w:eastAsia="fr-FR"/>
            </w:rPr>
          </w:pPr>
          <w:r>
            <w:rPr>
              <w:rFonts w:ascii="Times New Roman" w:eastAsiaTheme="minorEastAsia" w:hAnsi="Times New Roman" w:cs="Times New Roman"/>
              <w:b/>
              <w:bCs/>
              <w:iCs/>
              <w:sz w:val="52"/>
              <w:szCs w:val="52"/>
              <w:lang w:eastAsia="fr-FR"/>
            </w:rPr>
            <w:t xml:space="preserve"> </w:t>
          </w:r>
          <w:r w:rsidR="00CB061D" w:rsidRPr="00BA5858">
            <w:rPr>
              <w:rFonts w:ascii="Times New Roman" w:eastAsiaTheme="minorEastAsia" w:hAnsi="Times New Roman" w:cs="Times New Roman"/>
              <w:b/>
              <w:bCs/>
              <w:iCs/>
              <w:sz w:val="52"/>
              <w:szCs w:val="52"/>
              <w:lang w:eastAsia="fr-FR"/>
            </w:rPr>
            <w:t xml:space="preserve">Politique </w:t>
          </w:r>
          <w:r w:rsidR="00B52E10">
            <w:rPr>
              <w:rFonts w:ascii="Times New Roman" w:eastAsiaTheme="minorEastAsia" w:hAnsi="Times New Roman" w:cs="Times New Roman"/>
              <w:b/>
              <w:bCs/>
              <w:iCs/>
              <w:sz w:val="52"/>
              <w:szCs w:val="52"/>
              <w:lang w:eastAsia="fr-FR"/>
            </w:rPr>
            <w:t>Sociale</w:t>
          </w:r>
          <w:r w:rsidR="00CB061D" w:rsidRPr="00BA5858">
            <w:rPr>
              <w:rFonts w:ascii="Times New Roman" w:eastAsiaTheme="minorEastAsia" w:hAnsi="Times New Roman" w:cs="Times New Roman"/>
              <w:b/>
              <w:bCs/>
              <w:iCs/>
              <w:sz w:val="52"/>
              <w:szCs w:val="52"/>
              <w:lang w:eastAsia="fr-FR"/>
            </w:rPr>
            <w:t xml:space="preserve"> </w:t>
          </w:r>
        </w:p>
      </w:tc>
      <w:tc>
        <w:tcPr>
          <w:tcW w:w="1985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3B0CD074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before="6" w:after="0" w:line="100" w:lineRule="exact"/>
            <w:ind w:right="-20"/>
            <w:rPr>
              <w:rFonts w:ascii="Times New Roman" w:eastAsiaTheme="minorEastAsia" w:hAnsi="Times New Roman" w:cs="Times New Roman"/>
              <w:sz w:val="10"/>
              <w:szCs w:val="10"/>
              <w:lang w:eastAsia="fr-FR"/>
            </w:rPr>
          </w:pPr>
        </w:p>
        <w:p w14:paraId="75A5B4E6" w14:textId="4BACE01D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after="0" w:line="240" w:lineRule="auto"/>
            <w:ind w:left="78" w:right="-20"/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  <w:r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t>DOC.GRHF.125</w:t>
          </w:r>
        </w:p>
      </w:tc>
    </w:tr>
    <w:tr w:rsidR="00CB061D" w:rsidRPr="00821DB6" w14:paraId="57BDB320" w14:textId="77777777" w:rsidTr="009B4716">
      <w:trPr>
        <w:trHeight w:hRule="exact" w:val="429"/>
      </w:trPr>
      <w:tc>
        <w:tcPr>
          <w:tcW w:w="2032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07279DC7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after="0" w:line="240" w:lineRule="auto"/>
            <w:ind w:left="78" w:right="-20"/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</w:p>
      </w:tc>
      <w:tc>
        <w:tcPr>
          <w:tcW w:w="6520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15DC90DF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after="0" w:line="240" w:lineRule="auto"/>
            <w:ind w:left="78" w:right="-20"/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</w:p>
      </w:tc>
      <w:tc>
        <w:tcPr>
          <w:tcW w:w="1985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49AE699E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before="6" w:after="0" w:line="100" w:lineRule="exact"/>
            <w:ind w:right="-20"/>
            <w:rPr>
              <w:rFonts w:ascii="Times New Roman" w:eastAsiaTheme="minorEastAsia" w:hAnsi="Times New Roman" w:cs="Times New Roman"/>
              <w:i/>
              <w:iCs/>
              <w:color w:val="8496B0" w:themeColor="text2" w:themeTint="99"/>
              <w:sz w:val="10"/>
              <w:szCs w:val="10"/>
              <w:lang w:eastAsia="fr-FR"/>
            </w:rPr>
          </w:pPr>
        </w:p>
        <w:p w14:paraId="4316AB7D" w14:textId="2CC7DD2F" w:rsidR="00CB061D" w:rsidRPr="00BA5858" w:rsidRDefault="00CB061D" w:rsidP="00CB061D">
          <w:pPr>
            <w:widowControl w:val="0"/>
            <w:autoSpaceDE w:val="0"/>
            <w:autoSpaceDN w:val="0"/>
            <w:adjustRightInd w:val="0"/>
            <w:spacing w:after="0" w:line="240" w:lineRule="auto"/>
            <w:ind w:left="299" w:right="-20"/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  <w:r w:rsidRPr="00BA5858">
            <w:rPr>
              <w:rFonts w:ascii="Times New Roman" w:eastAsiaTheme="minorEastAsia" w:hAnsi="Times New Roman" w:cs="Times New Roman"/>
              <w:b/>
              <w:bCs/>
              <w:iCs/>
              <w:sz w:val="24"/>
              <w:szCs w:val="24"/>
              <w:lang w:eastAsia="fr-FR"/>
            </w:rPr>
            <w:t xml:space="preserve">Version : </w:t>
          </w:r>
          <w:r w:rsidRPr="00120C17">
            <w:rPr>
              <w:rFonts w:ascii="Times New Roman" w:eastAsiaTheme="minorEastAsia" w:hAnsi="Times New Roman" w:cs="Times New Roman"/>
              <w:b/>
              <w:bCs/>
              <w:iCs/>
              <w:spacing w:val="-1"/>
              <w:sz w:val="24"/>
              <w:szCs w:val="24"/>
              <w:lang w:eastAsia="fr-FR"/>
            </w:rPr>
            <w:t>0</w:t>
          </w:r>
          <w:r w:rsidRPr="00CB061D">
            <w:rPr>
              <w:rFonts w:ascii="Times New Roman" w:eastAsiaTheme="minorEastAsia" w:hAnsi="Times New Roman" w:cs="Times New Roman"/>
              <w:b/>
              <w:bCs/>
              <w:iCs/>
              <w:spacing w:val="-1"/>
              <w:sz w:val="24"/>
              <w:szCs w:val="24"/>
              <w:lang w:eastAsia="fr-FR"/>
            </w:rPr>
            <w:t>1</w:t>
          </w:r>
        </w:p>
      </w:tc>
    </w:tr>
    <w:tr w:rsidR="00CB061D" w:rsidRPr="00821DB6" w14:paraId="6DDCE8A8" w14:textId="77777777" w:rsidTr="009B4716">
      <w:trPr>
        <w:trHeight w:hRule="exact" w:val="522"/>
      </w:trPr>
      <w:tc>
        <w:tcPr>
          <w:tcW w:w="2032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238DAEDD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after="0" w:line="240" w:lineRule="auto"/>
            <w:ind w:left="299" w:right="-20"/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</w:p>
      </w:tc>
      <w:tc>
        <w:tcPr>
          <w:tcW w:w="6520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0D7A1EC4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after="0" w:line="240" w:lineRule="auto"/>
            <w:ind w:left="299" w:right="-20"/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</w:p>
      </w:tc>
      <w:tc>
        <w:tcPr>
          <w:tcW w:w="1985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20FB0DD0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before="7" w:after="0" w:line="100" w:lineRule="exact"/>
            <w:ind w:right="-20"/>
            <w:rPr>
              <w:rFonts w:ascii="Times New Roman" w:eastAsiaTheme="minorEastAsia" w:hAnsi="Times New Roman" w:cs="Times New Roman"/>
              <w:sz w:val="10"/>
              <w:szCs w:val="10"/>
              <w:lang w:eastAsia="fr-FR"/>
            </w:rPr>
          </w:pPr>
        </w:p>
        <w:p w14:paraId="5A4D9869" w14:textId="5B7765D1" w:rsidR="00CB061D" w:rsidRPr="00821DB6" w:rsidRDefault="00CB061D" w:rsidP="00CB061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/>
              <w:lang w:eastAsia="fr-FR"/>
            </w:rPr>
          </w:pPr>
          <w:r w:rsidRPr="00821DB6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t xml:space="preserve">Page : </w:t>
          </w:r>
          <w:r w:rsidRPr="00821DB6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fldChar w:fldCharType="begin"/>
          </w:r>
          <w:r w:rsidRPr="00821DB6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instrText xml:space="preserve"> PAGE   \* MERGEFORMAT </w:instrText>
          </w:r>
          <w:r w:rsidRPr="00821DB6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fldChar w:fldCharType="separate"/>
          </w:r>
          <w:r w:rsidR="002E69D4"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fr-FR"/>
            </w:rPr>
            <w:t>2</w:t>
          </w:r>
          <w:r w:rsidRPr="00821DB6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fldChar w:fldCharType="end"/>
          </w:r>
          <w:r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t>/ 1</w:t>
          </w:r>
        </w:p>
      </w:tc>
    </w:tr>
  </w:tbl>
  <w:p w14:paraId="594036D5" w14:textId="77777777" w:rsidR="00C60878" w:rsidRDefault="00C608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7D4C"/>
    <w:multiLevelType w:val="hybridMultilevel"/>
    <w:tmpl w:val="4AE8F65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7F016E"/>
    <w:multiLevelType w:val="hybridMultilevel"/>
    <w:tmpl w:val="0DAE4038"/>
    <w:lvl w:ilvl="0" w:tplc="213C7634">
      <w:numFmt w:val="bullet"/>
      <w:lvlText w:val=""/>
      <w:lvlJc w:val="left"/>
      <w:pPr>
        <w:ind w:left="1315" w:hanging="360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21F28968">
      <w:numFmt w:val="bullet"/>
      <w:lvlText w:val="•"/>
      <w:lvlJc w:val="left"/>
      <w:pPr>
        <w:ind w:left="2378" w:hanging="360"/>
      </w:pPr>
      <w:rPr>
        <w:rFonts w:hint="default"/>
        <w:lang w:val="fr-FR" w:eastAsia="en-US" w:bidi="ar-SA"/>
      </w:rPr>
    </w:lvl>
    <w:lvl w:ilvl="2" w:tplc="C90692F6">
      <w:numFmt w:val="bullet"/>
      <w:lvlText w:val="•"/>
      <w:lvlJc w:val="left"/>
      <w:pPr>
        <w:ind w:left="3436" w:hanging="360"/>
      </w:pPr>
      <w:rPr>
        <w:rFonts w:hint="default"/>
        <w:lang w:val="fr-FR" w:eastAsia="en-US" w:bidi="ar-SA"/>
      </w:rPr>
    </w:lvl>
    <w:lvl w:ilvl="3" w:tplc="81703E12">
      <w:numFmt w:val="bullet"/>
      <w:lvlText w:val="•"/>
      <w:lvlJc w:val="left"/>
      <w:pPr>
        <w:ind w:left="4494" w:hanging="360"/>
      </w:pPr>
      <w:rPr>
        <w:rFonts w:hint="default"/>
        <w:lang w:val="fr-FR" w:eastAsia="en-US" w:bidi="ar-SA"/>
      </w:rPr>
    </w:lvl>
    <w:lvl w:ilvl="4" w:tplc="9A0C539C">
      <w:numFmt w:val="bullet"/>
      <w:lvlText w:val="•"/>
      <w:lvlJc w:val="left"/>
      <w:pPr>
        <w:ind w:left="5552" w:hanging="360"/>
      </w:pPr>
      <w:rPr>
        <w:rFonts w:hint="default"/>
        <w:lang w:val="fr-FR" w:eastAsia="en-US" w:bidi="ar-SA"/>
      </w:rPr>
    </w:lvl>
    <w:lvl w:ilvl="5" w:tplc="EB384B6A">
      <w:numFmt w:val="bullet"/>
      <w:lvlText w:val="•"/>
      <w:lvlJc w:val="left"/>
      <w:pPr>
        <w:ind w:left="6610" w:hanging="360"/>
      </w:pPr>
      <w:rPr>
        <w:rFonts w:hint="default"/>
        <w:lang w:val="fr-FR" w:eastAsia="en-US" w:bidi="ar-SA"/>
      </w:rPr>
    </w:lvl>
    <w:lvl w:ilvl="6" w:tplc="B024063A">
      <w:numFmt w:val="bullet"/>
      <w:lvlText w:val="•"/>
      <w:lvlJc w:val="left"/>
      <w:pPr>
        <w:ind w:left="7668" w:hanging="360"/>
      </w:pPr>
      <w:rPr>
        <w:rFonts w:hint="default"/>
        <w:lang w:val="fr-FR" w:eastAsia="en-US" w:bidi="ar-SA"/>
      </w:rPr>
    </w:lvl>
    <w:lvl w:ilvl="7" w:tplc="5798FD60">
      <w:numFmt w:val="bullet"/>
      <w:lvlText w:val="•"/>
      <w:lvlJc w:val="left"/>
      <w:pPr>
        <w:ind w:left="8726" w:hanging="360"/>
      </w:pPr>
      <w:rPr>
        <w:rFonts w:hint="default"/>
        <w:lang w:val="fr-FR" w:eastAsia="en-US" w:bidi="ar-SA"/>
      </w:rPr>
    </w:lvl>
    <w:lvl w:ilvl="8" w:tplc="02A83E64">
      <w:numFmt w:val="bullet"/>
      <w:lvlText w:val="•"/>
      <w:lvlJc w:val="left"/>
      <w:pPr>
        <w:ind w:left="978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DE63647"/>
    <w:multiLevelType w:val="hybridMultilevel"/>
    <w:tmpl w:val="4726D638"/>
    <w:lvl w:ilvl="0" w:tplc="50F41A54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96B0D98"/>
    <w:multiLevelType w:val="hybridMultilevel"/>
    <w:tmpl w:val="692AE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54015"/>
    <w:multiLevelType w:val="hybridMultilevel"/>
    <w:tmpl w:val="9FC85416"/>
    <w:lvl w:ilvl="0" w:tplc="C27E085A">
      <w:numFmt w:val="bullet"/>
      <w:lvlText w:val="-"/>
      <w:lvlJc w:val="left"/>
      <w:pPr>
        <w:ind w:left="1222" w:hanging="360"/>
      </w:pPr>
      <w:rPr>
        <w:rFonts w:ascii="Arial" w:eastAsia="Arial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4935459A"/>
    <w:multiLevelType w:val="hybridMultilevel"/>
    <w:tmpl w:val="E014F0DE"/>
    <w:lvl w:ilvl="0" w:tplc="84948AEC">
      <w:numFmt w:val="bullet"/>
      <w:lvlText w:val=""/>
      <w:lvlJc w:val="left"/>
      <w:pPr>
        <w:ind w:left="862" w:hanging="360"/>
      </w:pPr>
      <w:rPr>
        <w:rFonts w:ascii="Wingdings" w:eastAsia="Arial" w:hAnsi="Wingdings" w:cstheme="majorBidi" w:hint="default"/>
      </w:rPr>
    </w:lvl>
    <w:lvl w:ilvl="1" w:tplc="0884F14E">
      <w:numFmt w:val="bullet"/>
      <w:lvlText w:val="-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2D61724"/>
    <w:multiLevelType w:val="hybridMultilevel"/>
    <w:tmpl w:val="F7FC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B4B81"/>
    <w:multiLevelType w:val="hybridMultilevel"/>
    <w:tmpl w:val="B0E23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95DB2"/>
    <w:multiLevelType w:val="hybridMultilevel"/>
    <w:tmpl w:val="94F0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96C90"/>
    <w:multiLevelType w:val="hybridMultilevel"/>
    <w:tmpl w:val="5DB422B8"/>
    <w:lvl w:ilvl="0" w:tplc="0884F14E">
      <w:numFmt w:val="bullet"/>
      <w:lvlText w:val="-"/>
      <w:lvlJc w:val="left"/>
      <w:pPr>
        <w:ind w:left="1315" w:hanging="360"/>
      </w:pPr>
      <w:rPr>
        <w:rFonts w:ascii="Times New Roman" w:eastAsiaTheme="minorHAnsi" w:hAnsi="Times New Roman" w:cs="Times New Roman" w:hint="default"/>
        <w:w w:val="100"/>
        <w:sz w:val="18"/>
        <w:szCs w:val="18"/>
        <w:lang w:val="fr-FR" w:eastAsia="en-US" w:bidi="ar-SA"/>
      </w:rPr>
    </w:lvl>
    <w:lvl w:ilvl="1" w:tplc="21F28968">
      <w:numFmt w:val="bullet"/>
      <w:lvlText w:val="•"/>
      <w:lvlJc w:val="left"/>
      <w:pPr>
        <w:ind w:left="2378" w:hanging="360"/>
      </w:pPr>
      <w:rPr>
        <w:rFonts w:hint="default"/>
        <w:lang w:val="fr-FR" w:eastAsia="en-US" w:bidi="ar-SA"/>
      </w:rPr>
    </w:lvl>
    <w:lvl w:ilvl="2" w:tplc="C90692F6">
      <w:numFmt w:val="bullet"/>
      <w:lvlText w:val="•"/>
      <w:lvlJc w:val="left"/>
      <w:pPr>
        <w:ind w:left="3436" w:hanging="360"/>
      </w:pPr>
      <w:rPr>
        <w:rFonts w:hint="default"/>
        <w:lang w:val="fr-FR" w:eastAsia="en-US" w:bidi="ar-SA"/>
      </w:rPr>
    </w:lvl>
    <w:lvl w:ilvl="3" w:tplc="81703E12">
      <w:numFmt w:val="bullet"/>
      <w:lvlText w:val="•"/>
      <w:lvlJc w:val="left"/>
      <w:pPr>
        <w:ind w:left="4494" w:hanging="360"/>
      </w:pPr>
      <w:rPr>
        <w:rFonts w:hint="default"/>
        <w:lang w:val="fr-FR" w:eastAsia="en-US" w:bidi="ar-SA"/>
      </w:rPr>
    </w:lvl>
    <w:lvl w:ilvl="4" w:tplc="9A0C539C">
      <w:numFmt w:val="bullet"/>
      <w:lvlText w:val="•"/>
      <w:lvlJc w:val="left"/>
      <w:pPr>
        <w:ind w:left="5552" w:hanging="360"/>
      </w:pPr>
      <w:rPr>
        <w:rFonts w:hint="default"/>
        <w:lang w:val="fr-FR" w:eastAsia="en-US" w:bidi="ar-SA"/>
      </w:rPr>
    </w:lvl>
    <w:lvl w:ilvl="5" w:tplc="EB384B6A">
      <w:numFmt w:val="bullet"/>
      <w:lvlText w:val="•"/>
      <w:lvlJc w:val="left"/>
      <w:pPr>
        <w:ind w:left="6610" w:hanging="360"/>
      </w:pPr>
      <w:rPr>
        <w:rFonts w:hint="default"/>
        <w:lang w:val="fr-FR" w:eastAsia="en-US" w:bidi="ar-SA"/>
      </w:rPr>
    </w:lvl>
    <w:lvl w:ilvl="6" w:tplc="B024063A">
      <w:numFmt w:val="bullet"/>
      <w:lvlText w:val="•"/>
      <w:lvlJc w:val="left"/>
      <w:pPr>
        <w:ind w:left="7668" w:hanging="360"/>
      </w:pPr>
      <w:rPr>
        <w:rFonts w:hint="default"/>
        <w:lang w:val="fr-FR" w:eastAsia="en-US" w:bidi="ar-SA"/>
      </w:rPr>
    </w:lvl>
    <w:lvl w:ilvl="7" w:tplc="5798FD60">
      <w:numFmt w:val="bullet"/>
      <w:lvlText w:val="•"/>
      <w:lvlJc w:val="left"/>
      <w:pPr>
        <w:ind w:left="8726" w:hanging="360"/>
      </w:pPr>
      <w:rPr>
        <w:rFonts w:hint="default"/>
        <w:lang w:val="fr-FR" w:eastAsia="en-US" w:bidi="ar-SA"/>
      </w:rPr>
    </w:lvl>
    <w:lvl w:ilvl="8" w:tplc="02A83E64">
      <w:numFmt w:val="bullet"/>
      <w:lvlText w:val="•"/>
      <w:lvlJc w:val="left"/>
      <w:pPr>
        <w:ind w:left="9784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66330E84"/>
    <w:multiLevelType w:val="hybridMultilevel"/>
    <w:tmpl w:val="2C94B42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4930465"/>
    <w:multiLevelType w:val="hybridMultilevel"/>
    <w:tmpl w:val="AA7E44D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7316357"/>
    <w:multiLevelType w:val="hybridMultilevel"/>
    <w:tmpl w:val="702CAE20"/>
    <w:lvl w:ilvl="0" w:tplc="50F41A54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884F14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F354A"/>
    <w:multiLevelType w:val="hybridMultilevel"/>
    <w:tmpl w:val="3BB64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83687">
    <w:abstractNumId w:val="1"/>
  </w:num>
  <w:num w:numId="2" w16cid:durableId="993265075">
    <w:abstractNumId w:val="11"/>
  </w:num>
  <w:num w:numId="3" w16cid:durableId="1164934385">
    <w:abstractNumId w:val="5"/>
  </w:num>
  <w:num w:numId="4" w16cid:durableId="1857309866">
    <w:abstractNumId w:val="4"/>
  </w:num>
  <w:num w:numId="5" w16cid:durableId="1360470026">
    <w:abstractNumId w:val="2"/>
  </w:num>
  <w:num w:numId="6" w16cid:durableId="2108773068">
    <w:abstractNumId w:val="12"/>
  </w:num>
  <w:num w:numId="7" w16cid:durableId="1974367860">
    <w:abstractNumId w:val="7"/>
  </w:num>
  <w:num w:numId="8" w16cid:durableId="62795811">
    <w:abstractNumId w:val="0"/>
  </w:num>
  <w:num w:numId="9" w16cid:durableId="56825690">
    <w:abstractNumId w:val="10"/>
  </w:num>
  <w:num w:numId="10" w16cid:durableId="1276905926">
    <w:abstractNumId w:val="13"/>
  </w:num>
  <w:num w:numId="11" w16cid:durableId="1054935512">
    <w:abstractNumId w:val="9"/>
  </w:num>
  <w:num w:numId="12" w16cid:durableId="1384597065">
    <w:abstractNumId w:val="6"/>
  </w:num>
  <w:num w:numId="13" w16cid:durableId="85394193">
    <w:abstractNumId w:val="8"/>
  </w:num>
  <w:num w:numId="14" w16cid:durableId="190332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9"/>
    <w:rsid w:val="000077AC"/>
    <w:rsid w:val="000169C8"/>
    <w:rsid w:val="00022EA3"/>
    <w:rsid w:val="00024CF5"/>
    <w:rsid w:val="000617BF"/>
    <w:rsid w:val="00077EEF"/>
    <w:rsid w:val="000B01EE"/>
    <w:rsid w:val="000C54DC"/>
    <w:rsid w:val="000D0B5D"/>
    <w:rsid w:val="000D79E3"/>
    <w:rsid w:val="000D7B0A"/>
    <w:rsid w:val="000E62AF"/>
    <w:rsid w:val="000F1405"/>
    <w:rsid w:val="00103207"/>
    <w:rsid w:val="0014723D"/>
    <w:rsid w:val="001918C9"/>
    <w:rsid w:val="001E4056"/>
    <w:rsid w:val="002075CA"/>
    <w:rsid w:val="00263FE9"/>
    <w:rsid w:val="00267D92"/>
    <w:rsid w:val="002B23EC"/>
    <w:rsid w:val="002B5280"/>
    <w:rsid w:val="002D5526"/>
    <w:rsid w:val="002E0322"/>
    <w:rsid w:val="002E69D4"/>
    <w:rsid w:val="002F27EF"/>
    <w:rsid w:val="0031177D"/>
    <w:rsid w:val="003127C2"/>
    <w:rsid w:val="00332E58"/>
    <w:rsid w:val="0033376A"/>
    <w:rsid w:val="003C00E1"/>
    <w:rsid w:val="00401078"/>
    <w:rsid w:val="00430234"/>
    <w:rsid w:val="0043120E"/>
    <w:rsid w:val="00435317"/>
    <w:rsid w:val="00456E59"/>
    <w:rsid w:val="004576AE"/>
    <w:rsid w:val="004854CC"/>
    <w:rsid w:val="004B0B1F"/>
    <w:rsid w:val="004D21F4"/>
    <w:rsid w:val="004E376F"/>
    <w:rsid w:val="005104EE"/>
    <w:rsid w:val="00523D6E"/>
    <w:rsid w:val="00532C96"/>
    <w:rsid w:val="00541A30"/>
    <w:rsid w:val="00583F2B"/>
    <w:rsid w:val="005B6339"/>
    <w:rsid w:val="006161E3"/>
    <w:rsid w:val="00620DAA"/>
    <w:rsid w:val="00637EDD"/>
    <w:rsid w:val="00673D7C"/>
    <w:rsid w:val="00683BBD"/>
    <w:rsid w:val="00701BFC"/>
    <w:rsid w:val="00724946"/>
    <w:rsid w:val="00771A02"/>
    <w:rsid w:val="007A7CF5"/>
    <w:rsid w:val="007C3AE8"/>
    <w:rsid w:val="007C42FC"/>
    <w:rsid w:val="007C43C6"/>
    <w:rsid w:val="00804E7E"/>
    <w:rsid w:val="008239DD"/>
    <w:rsid w:val="008370F3"/>
    <w:rsid w:val="00854B59"/>
    <w:rsid w:val="008A38C8"/>
    <w:rsid w:val="008B480A"/>
    <w:rsid w:val="008C07F8"/>
    <w:rsid w:val="008F23F4"/>
    <w:rsid w:val="0092579E"/>
    <w:rsid w:val="00966711"/>
    <w:rsid w:val="0099012D"/>
    <w:rsid w:val="00991A33"/>
    <w:rsid w:val="00994277"/>
    <w:rsid w:val="009B26C3"/>
    <w:rsid w:val="00A1318E"/>
    <w:rsid w:val="00A137B1"/>
    <w:rsid w:val="00A43816"/>
    <w:rsid w:val="00A510B6"/>
    <w:rsid w:val="00A938B5"/>
    <w:rsid w:val="00AA2DBA"/>
    <w:rsid w:val="00AE188E"/>
    <w:rsid w:val="00B345B9"/>
    <w:rsid w:val="00B52E10"/>
    <w:rsid w:val="00B902C7"/>
    <w:rsid w:val="00BB46C4"/>
    <w:rsid w:val="00C327D5"/>
    <w:rsid w:val="00C47377"/>
    <w:rsid w:val="00C50BFE"/>
    <w:rsid w:val="00C6068D"/>
    <w:rsid w:val="00C60878"/>
    <w:rsid w:val="00C649AB"/>
    <w:rsid w:val="00C8008D"/>
    <w:rsid w:val="00CA481E"/>
    <w:rsid w:val="00CB061D"/>
    <w:rsid w:val="00CC465D"/>
    <w:rsid w:val="00CE589B"/>
    <w:rsid w:val="00D71FA3"/>
    <w:rsid w:val="00D94AE1"/>
    <w:rsid w:val="00D96B77"/>
    <w:rsid w:val="00DB58ED"/>
    <w:rsid w:val="00DD2408"/>
    <w:rsid w:val="00EB1177"/>
    <w:rsid w:val="00EC44E7"/>
    <w:rsid w:val="00EF111E"/>
    <w:rsid w:val="00F3521E"/>
    <w:rsid w:val="00F36614"/>
    <w:rsid w:val="00F5337B"/>
    <w:rsid w:val="00F650EC"/>
    <w:rsid w:val="00F9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2E7F2"/>
  <w15:docId w15:val="{C0DF476C-60FE-4618-8CB0-D98E90EE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67D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267D92"/>
    <w:rPr>
      <w:rFonts w:ascii="Arial" w:eastAsia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0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fontstyle01">
    <w:name w:val="fontstyle01"/>
    <w:basedOn w:val="Policepardfaut"/>
    <w:rsid w:val="000D79E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C6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878"/>
  </w:style>
  <w:style w:type="paragraph" w:styleId="Pieddepage">
    <w:name w:val="footer"/>
    <w:basedOn w:val="Normal"/>
    <w:link w:val="PieddepageCar"/>
    <w:uiPriority w:val="99"/>
    <w:unhideWhenUsed/>
    <w:rsid w:val="00C6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878"/>
  </w:style>
  <w:style w:type="table" w:styleId="Grilledutableau">
    <w:name w:val="Table Grid"/>
    <w:basedOn w:val="TableauNormal"/>
    <w:uiPriority w:val="59"/>
    <w:rsid w:val="00C6087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FA3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8B4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3B19-2962-4A89-8710-0204ADA5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Moez Ben Abdallah</cp:lastModifiedBy>
  <cp:revision>2</cp:revision>
  <cp:lastPrinted>2022-06-30T10:46:00Z</cp:lastPrinted>
  <dcterms:created xsi:type="dcterms:W3CDTF">2022-12-19T14:30:00Z</dcterms:created>
  <dcterms:modified xsi:type="dcterms:W3CDTF">2022-12-19T14:30:00Z</dcterms:modified>
</cp:coreProperties>
</file>